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Mehrheit von mindestens drei Vierteln aller Kuxe ist erforderlich zu Beschlüssen, durch welche über den Gegenstand der Verleihung - Substanz des Bergwerks - ganz oder teilweise verfügt werden soll. Dies gilt insbesondere von den Fällen des Verkaufes, des Tausches, der Verpfändung oder der sonstigen dinglichen Belastung des Bergwerks sowie der Verpachtung.</w:t>
      </w:r>
    </w:p>
    <w:p>
      <w:r>
        <w:t xml:space="preserve">(2) Zu Verfügungen über das verliehene Bergwerkseigentum durch Verzicht oder Schenkung ist Einstimmigkeit erforderlich.</w:t>
      </w:r>
    </w:p>
    <w:p>
      <w:r>
        <w:rPr>
          <w:color w:val="555555"/>
          <w:sz w:val="17"/>
        </w:rPr>
        <w:t xml:space="preserve">Zitiervorschlag: § 114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