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Gültigkeit eines Beschlusses ist erforderlich, daß alle Gewerken anwesend oder unter Angabe des zu verhandelnden Gegenstandes zu einer Versammlung eingeladen waren.</w:t>
      </w:r>
    </w:p>
    <w:p>
      <w:r>
        <w:t xml:space="preserve">(2) Einladungen durch die Post erfolgen durch Postzustellungsurkunde.</w:t>
      </w:r>
    </w:p>
    <w:p>
      <w:r>
        <w:t xml:space="preserve">(3) Gewerken, welche im Auslande wohnen, haben zur Empfangnahme der Einladungen einen Bevollmächtigten im Inlande zu bestellen. Ist dies nicht geschehen, so reicht ein vierzehntägiger Aushang im Bergamt aus.</w:t>
      </w:r>
    </w:p>
    <w:p>
      <w:r>
        <w:t xml:space="preserve">(4) Dasselbe gilt bei Gewerken, deren Wohnort unbekannt ist.</w:t>
      </w:r>
    </w:p>
    <w:p>
      <w:r>
        <w:rPr>
          <w:color w:val="555555"/>
          <w:sz w:val="17"/>
        </w:rPr>
        <w:t xml:space="preserve">Zitiervorschlag: § 112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