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Gewerken fassen ihre Beschlüsse in Gewerkenversammlungen.</w:t>
      </w:r>
    </w:p>
    <w:p>
      <w:r>
        <w:t xml:space="preserve">(2) Das Stimmrecht wird nach Kuxen, nicht nach Personen ausgeübt.</w:t>
      </w:r>
    </w:p>
    <w:p>
      <w:r>
        <w:rPr>
          <w:color w:val="555555"/>
          <w:sz w:val="17"/>
        </w:rPr>
        <w:t xml:space="preserve">Zitiervorschlag: § 111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https://recht.nulegal.eu/gesetze/NW_26481/111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