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Schürfer ist befugt, über die bei seinen Schürfarbeiten geförderten Mineralien (§ 1) zu verfügen, insofern nicht bereits Dritte Rechte auf dieselben erworben haben.</w:t>
      </w:r>
    </w:p>
    <w:p>
      <w:r>
        <w:t xml:space="preserve">(2) .</w:t>
      </w:r>
    </w:p>
    <w:p>
      <w:r>
        <w:t xml:space="preserve">Zweiter Abschnitt</w:t>
      </w:r>
    </w:p>
    <w:p>
      <w:r>
        <w:t xml:space="preserve">Vom Muten</w:t>
      </w:r>
    </w:p>
    <w:p>
      <w:r>
        <w:rPr>
          <w:color w:val="555555"/>
          <w:sz w:val="17"/>
        </w:rPr>
        <w:t xml:space="preserve">Zitiervorschlag: § 11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