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108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Verpfändung der Kuxe geschieht durch Übergabe des Kuxscheins auf Grund eines schriftlichen Vertrages.</w:t>
      </w:r>
    </w:p>
    <w:p>
      <w:r>
        <w:t xml:space="preserve">§§ 109, 110</w:t>
      </w:r>
    </w:p>
    <w:p>
      <w:r>
        <w:rPr>
          <w:color w:val="555555"/>
          <w:sz w:val="17"/>
        </w:rPr>
        <w:t xml:space="preserve">Zitiervorschlag: § 108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https://recht.nulegal.eu/gesetze/NW_26481/108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