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105 NW_26481 (Nordrhein-Westfalen)</w:t>
      </w:r>
    </w:p>
    <w:p>
      <w:r>
        <w:rPr>
          <w:color w:val="555555"/>
          <w:sz w:val="18"/>
        </w:rPr>
        <w:t xml:space="preserve">Allgemeines Berggesetz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Zur Übertragung der Kuxe ist die schriftliche Form erforderlich.</w:t>
      </w:r>
    </w:p>
    <w:p>
      <w:r>
        <w:t xml:space="preserve">(2) Der Übertragende ist zur Aushändigung des Kuxscheins und, wenn dieser verloren ist, zur Beschaffung der Kraftloserklärung auf seine Kosten verpflichtet.</w:t>
      </w:r>
    </w:p>
    <w:p>
      <w:r>
        <w:t xml:space="preserve">(3) Die Umschreibung im Gewerkenbuche darf nur auf Grund der Übertragungsurkunde und gegen Vorlegung des Kuxscheins oder der Kraftloserklärung erfolgen.</w:t>
      </w:r>
    </w:p>
    <w:p>
      <w:r>
        <w:rPr>
          <w:color w:val="555555"/>
          <w:sz w:val="17"/>
        </w:rPr>
        <w:t xml:space="preserve">Zitiervorschlag: § 105 NW_26481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https://recht.nulegal.eu/gesetze/NW_26481/105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105 NW_26481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