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104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Kuxe können ohne Einwilligung der Mitgewerken auf andere Personen übertragen werden.</w:t>
      </w:r>
    </w:p>
    <w:p>
      <w:r>
        <w:t xml:space="preserve">(2) .</w:t>
      </w:r>
    </w:p>
    <w:p>
      <w:r>
        <w:rPr>
          <w:color w:val="555555"/>
          <w:sz w:val="17"/>
        </w:rPr>
        <w:t xml:space="preserve">Zitiervorschlag: § 104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https://recht.nulegal.eu/gesetze/NW_26481/104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