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nachstehend bezeichneten Mineralien sind vom Verfügungsrechte des Grundeigentümers ausgeschlossen:</w:t>
      </w:r>
    </w:p>
    <w:p>
      <w:r>
        <w:t xml:space="preserve">Gold, Silber, Quecksilber, Eisen mit Ausnahme der Raseneisenerze, Blei, Kupfer, Zinn, Zink, Kobalt, Nickel, Arsen, Mangan, Wolfram, Molybdän, Vanadium, Titan, Chrom, Wismut, Antimon und Schwefel, gediegen und als Erze;</w:t>
      </w:r>
    </w:p>
    <w:p>
      <w:r>
        <w:t xml:space="preserve">Alaun- und Vitriolerze;</w:t>
      </w:r>
    </w:p>
    <w:p>
      <w:r>
        <w:t xml:space="preserve">Uran- und Thoriumerze;</w:t>
      </w:r>
    </w:p>
    <w:p>
      <w:r>
        <w:t xml:space="preserve">Steinkohle, Braunkohle und Graphit;</w:t>
      </w:r>
    </w:p>
    <w:p>
      <w:r>
        <w:t xml:space="preserve">Steinsalz, Kali-, Magnesia- und Borsalze nebst den mit diesen Salzen auf derselben Lagerstätte vorkommenden Salzen und die Solquellen.</w:t>
      </w:r>
    </w:p>
    <w:p>
      <w:r>
        <w:t xml:space="preserve">(2) Die Aufsuchung und Gewinnung dieser Mineralien unterliegt den Vorschriften dieses Gesetzes.</w:t>
      </w:r>
    </w:p>
    <w:p>
      <w:r>
        <w:rPr>
          <w:color w:val="555555"/>
          <w:sz w:val="17"/>
        </w:rPr>
        <w:t xml:space="preserve">Zitiervorschlag: § 1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