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NW_26477 (Nordrhein-Westfalen)</w:t>
      </w:r>
    </w:p>
    <w:p>
      <w:r>
        <w:rPr>
          <w:color w:val="555555"/>
          <w:sz w:val="18"/>
        </w:rPr>
        <w:t xml:space="preserve">Verordnung zur Ausführung des Bürgerlichen Gesetzbuchs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Fällen des § 525 Abs. 2 und des § 2194 Satz 2 des Bürgerlichen Gesetzbuchs ist für die Geltendmachung des Anspruchs auf Vollziehung der Auflage, wenn die Wahrnehmung des öffentlichen Interesses einer Behörde des Landes Nordrhein-Westfalen obliegt, der Minister zuständig, dessen Geschäftsbereich nach dem Zwecke der Auflage betroffen wird. Er kann mit der Geltendmachung des Anspruchs eine nachgeordnete Behörde beauftragen.</w:t>
      </w:r>
    </w:p>
    <w:p>
      <w:r>
        <w:rPr>
          <w:color w:val="555555"/>
          <w:sz w:val="17"/>
        </w:rPr>
        <w:t xml:space="preserve">Zitiervorschlag: Art 7 NW_26477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