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88 NW_26476 (Nordrhein-Westfalen)</w:t>
      </w:r>
    </w:p>
    <w:p>
      <w:r>
        <w:rPr>
          <w:color w:val="555555"/>
          <w:sz w:val="18"/>
        </w:rPr>
        <w:t xml:space="preserve">Ausführungsgesetz zum Bürgerlichen Gesetzbuch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Artikel 8 in der seit dem 1. Mai 2004 geltenden Fassung findet auf die an diesem Tag bestehenden und noch nicht verjährten Ansprüche Anwendung. Artikel 229 § 6 Abs. 1 Satz 2 und 3, Abs. 2 bis 4 des Einführungsgesetzes zum Bürgerlichen Gesetzbuche findet entsprechende Anwendung mit der Maßgabe, dass an die Stelle des Bürgerlichen Gesetzbuchs Artikel 8 dieses Gesetzes, an die Stelle des 1. Januar 2002 der 1. Mai 2004 und an die Stelle des 31. Dezember 2001 der 30. April 2004 tritt.</w:t>
      </w:r>
    </w:p>
    <w:p>
      <w:r>
        <w:rPr>
          <w:color w:val="555555"/>
          <w:sz w:val="17"/>
        </w:rPr>
        <w:t xml:space="preserve">Zitiervorschlag: Art 88 NW_26476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https://recht.nulegal.eu/gesetze/NW_26476/88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