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neben dem Bürgerlichen Gesetzbuch in Kraft bleibenden Vorschriften, die sich auf Hypotheken und Grundschulden beziehen, finden auf Rentenschulden entsprechende Anwendung.</w:t>
      </w:r>
    </w:p>
    <w:p>
      <w:r>
        <w:t xml:space="preserve">Auseinandersetzungen</w:t>
      </w:r>
    </w:p>
    <w:p>
      <w:r>
        <w:rPr>
          <w:color w:val="555555"/>
          <w:sz w:val="17"/>
        </w:rPr>
        <w:t xml:space="preserve">Zitiervorschlag: Art 35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