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NW_26476 (Nordrhein-Westfalen)</w:t>
      </w:r>
    </w:p>
    <w:p>
      <w:r>
        <w:rPr>
          <w:color w:val="555555"/>
          <w:sz w:val="18"/>
        </w:rPr>
        <w:t xml:space="preserve">Ausführungsgesetz zum Bürgerlichen 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den Schutz der Ausübung einer Grunddienstbarkeit gelten, auch bevor das Grundbuch für das Grundstück als angelegt anzusehen ist, wenn die Grunddienstbarkeit in einem über das Grundstück geführten gerichtlichen Buche eingetragen ist, die Vorschriften des § 1029 des Bürgerlichen Gesetzbuchs, anderenfalls die Vorschriften des Artikels 191 Abs. 2 des Einführungsgesetzes zum Bürgerlichen Gesetzbuche.</w:t>
      </w:r>
    </w:p>
    <w:p>
      <w:r>
        <w:t xml:space="preserve">Wiederkaufsrecht bei Rentengütern</w:t>
      </w:r>
    </w:p>
    <w:p>
      <w:r>
        <w:rPr>
          <w:color w:val="555555"/>
          <w:sz w:val="17"/>
        </w:rPr>
        <w:t xml:space="preserve">Zitiervorschlag: Art 28 NW_26476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https://recht.nulegal.eu/gesetze/NW_26476/28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