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NW_26476 (Nordrhein-Westfalen)</w:t>
      </w:r>
    </w:p>
    <w:p>
      <w:r>
        <w:rPr>
          <w:color w:val="555555"/>
          <w:sz w:val="18"/>
        </w:rPr>
        <w:t xml:space="preserve">Ausführungsgesetz zum Bürgerlichen Gesetzbuch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Übertragung des Eigentums an einem Grundstücke, das im Grundbuche nicht eingetragen ist und auch nach der Übertragung nicht eingetragen zu werden braucht, ist die Einigung des Veräußerers und des Erwerbers über den Eintritt der Übertragung erforderlich. Die Einigung bedarf der gerichtlichen oder notariellen Beurkundung; wird einer der Beteiligten durch eine öffentliche Behörde vertreten, so genügt die Beurkundung durch einen nach Artikel 12 § 2 für die Beurkundung des Veräußerungsvertrags zuständigen Beamten.</w:t>
      </w:r>
    </w:p>
    <w:p>
      <w:r>
        <w:t xml:space="preserve">(2) Die Übertragung des Eigentums kann nicht unter einer Bedingung oder einer Zeitbestimmung erfolgen.</w:t>
      </w:r>
    </w:p>
    <w:p>
      <w:r>
        <w:t xml:space="preserve">Besitzschutz bei Grunddienstbarkeiten</w:t>
      </w:r>
    </w:p>
    <w:p>
      <w:r>
        <w:rPr>
          <w:color w:val="555555"/>
          <w:sz w:val="17"/>
        </w:rPr>
        <w:t xml:space="preserve">Zitiervorschlag: Art 27 NW_26476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https://recht.nulegal.eu/gesetze/NW_26476/27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