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26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Grundstücke, die im bisherigen Geltungsbereiche des Rheinischen Rechtes belegen sind, gelten folgende Vorschriften:</w:t>
      </w:r>
    </w:p>
    <w:p>
      <w:r>
        <w:rPr>
          <w:color w:val="555555"/>
          <w:sz w:val="17"/>
        </w:rPr>
        <w:t xml:space="preserve">Zitiervorschlag: Art 26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