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Hat im bisherigen Geltungsbereiche des Rheinischen Rechtes der Eigentümer eines Grundstücks vor dem Inkrafttreten des Bürgerlichen Gesetzbuchs auf Grund des Artikel 663 des Rheinischen Bürgerlichen Gesetzbuchs von seinem Nachbar verlangt, daß er zur Errichtung einer Scheidemauer beitrage, so bleiben für das Recht und die Pflicht zur Errichtung der Mauer die bisherigen Vorschriften maßgebend.</w:t>
      </w:r>
    </w:p>
    <w:p>
      <w:r>
        <w:t xml:space="preserve">Widerrufliches Eigentum an Grundstücken</w:t>
      </w:r>
    </w:p>
    <w:p>
      <w:r>
        <w:rPr>
          <w:color w:val="555555"/>
          <w:sz w:val="17"/>
        </w:rPr>
        <w:t xml:space="preserve">Zitiervorschlag: Art 24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