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Erhaltung der Wirksamkeit gegenüber dem öffentlichen Glauben des Grundbuchs bedürfen der Eintragung nicht:</w:t>
      </w:r>
    </w:p>
    <w:p>
      <w:r>
        <w:t xml:space="preserve">1. das in den Fällen der Enteignung oder der Grundabtretung zu Zweckendes Bergbaubetriebs bestehende gesetzliche Vorkaufsrecht;</w:t>
      </w:r>
    </w:p>
    <w:p>
      <w:r>
        <w:t xml:space="preserve">2. die Gebrauchs- und Nutzungsrechte, welche nach den §§ 8, 142 des Allgemeinen Berggesetzes vom 24. Juni 1865 im Wege des Zwangsverfahrens erworben werden können;</w:t>
      </w:r>
    </w:p>
    <w:p>
      <w:r>
        <w:t xml:space="preserve">3. die den Rentenbanken überwiesenen Renten und die Domänen-Amortisationsrenten;...</w:t>
      </w:r>
    </w:p>
    <w:p>
      <w:r>
        <w:t xml:space="preserve">Nachbarrechtliche Beschränkungen des Eigentums</w:t>
      </w:r>
    </w:p>
    <w:p>
      <w:r>
        <w:rPr>
          <w:color w:val="555555"/>
          <w:sz w:val="17"/>
        </w:rPr>
        <w:t xml:space="preserve">Zitiervorschlag: Art 22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