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Zahlungen aus öffentlichen Kassen sind, wenn nicht ein anderes bestimmt ist, an der Kasse in Empfang zu nehmen.</w:t>
      </w:r>
    </w:p>
    <w:p>
      <w:r>
        <w:t xml:space="preserve">Beurkundung von Grundstücksveräußerungen</w:t>
      </w:r>
    </w:p>
    <w:p>
      <w:r>
        <w:rPr>
          <w:color w:val="555555"/>
          <w:sz w:val="17"/>
        </w:rPr>
        <w:t xml:space="preserve">Zitiervorschlag: Art 11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