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NW_26470 (Nordrhein-Westfalen)</w:t>
      </w:r>
    </w:p>
    <w:p>
      <w:r>
        <w:rPr>
          <w:color w:val="555555"/>
          <w:sz w:val="18"/>
        </w:rPr>
        <w:t xml:space="preserve">Ausführungsgesetz zur Konkursordnung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tritt gleichzeitig mit dem Deutschen Gerichtsverfassungsgesetz in Kraft.</w:t>
      </w:r>
    </w:p>
    <w:p>
      <w:r>
        <w:t xml:space="preserve">(2) Das Justizministerium überprüft alle fünf Jahre, erstmals zum 1. März 2006, ob bei den Gerichten des Landes Nordrhein-Westfalen noch Konkursverfahren anhängig sind und berichtet dem Landtag über das Ergebnis.</w:t>
      </w:r>
    </w:p>
    <w:p>
      <w:r>
        <w:rPr>
          <w:color w:val="555555"/>
          <w:sz w:val="17"/>
        </w:rPr>
        <w:t xml:space="preserve">Zitiervorschlag: § 57 NW_26470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https://recht.nulegal.eu/gesetze/NW_26470/57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