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NW_26470 (Nordrhein-Westfalen)</w:t>
      </w:r>
    </w:p>
    <w:p>
      <w:r>
        <w:rPr>
          <w:color w:val="555555"/>
          <w:sz w:val="18"/>
        </w:rPr>
        <w:t xml:space="preserve">Ausführungsgesetz zur Konkursordnung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Beschränkungen, welche nach gesetzlichen Bestimmungen das Konkursverfahren... für den Gemeinschuldner in der Ausübung eines auf das Vermögen sich nicht beziehenden Rechts zur Folge hat, fallen mit der Beendigung des Verfahrens weg.</w:t>
      </w:r>
    </w:p>
    <w:p>
      <w:r>
        <w:rPr>
          <w:color w:val="555555"/>
          <w:sz w:val="17"/>
        </w:rPr>
        <w:t xml:space="preserve">Zitiervorschlag: § 52 NW_26470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https://recht.nulegal.eu/gesetze/NW_26470/52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