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NWRG</w:t>
      </w:r>
    </w:p>
    <w:p>
      <w:r>
        <w:rPr>
          <w:color w:val="555555"/>
          <w:sz w:val="18"/>
        </w:rPr>
        <w:t xml:space="preserve">Nationales-Waffenregister-Gesetz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NWRG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