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NWRG — Datenübermittlung durch die Waffenbehörden</w:t>
      </w:r>
    </w:p>
    <w:p>
      <w:r>
        <w:rPr>
          <w:color w:val="555555"/>
          <w:sz w:val="18"/>
        </w:rPr>
        <w:t xml:space="preserve">Nationales-Waffenregister-Gesetz</w:t>
      </w:r>
    </w:p>
    <w:p>
      <w:r>
        <w:rPr>
          <w:color w:val="555555"/>
          <w:sz w:val="18"/>
        </w:rPr>
        <w:t xml:space="preserve">Historische Fassung: Stand 02.12.2019 bis 01.09.2020. Dies ist nicht die aktuelle Fassung.</w:t>
      </w:r>
    </w:p>
    <w:p>
      <w:r>
        <w:t xml:space="preserve">Die zuständigen Waffenbehörden übermitteln der Registerbehörde im Anschluss an das den Anlass der Speicherung nach § 3 begründende Ereignis unverzüglich die nach § 4 zu speichernden oder zu einer Veränderung oder Löschung einer Eintragung im Register führenden Daten.</w:t>
      </w:r>
    </w:p>
    <w:p>
      <w:r>
        <w:rPr>
          <w:color w:val="555555"/>
          <w:sz w:val="17"/>
        </w:rPr>
        <w:t xml:space="preserve">Zitiervorschlag: § 5 NWRG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