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NWRG — Erstmalige Übermittlung des Datenbestandes</w:t>
      </w:r>
    </w:p>
    <w:p>
      <w:r>
        <w:rPr>
          <w:color w:val="555555"/>
          <w:sz w:val="18"/>
        </w:rPr>
        <w:t xml:space="preserve">Nationales-Waffenregister-Gesetz</w:t>
      </w:r>
    </w:p>
    <w:p>
      <w:r>
        <w:rPr>
          <w:color w:val="555555"/>
          <w:sz w:val="18"/>
        </w:rPr>
        <w:t xml:space="preserve">Historische Fassung: Stand 30.06.2020 bis 01.09.2020. Dies ist nicht die aktuelle Fassung.</w:t>
      </w:r>
    </w:p>
    <w:p>
      <w:r>
        <w:t xml:space="preserve">(1) Die Waffenbehörden übermitteln bis spätestens zum 31. Dezember 2012 die in § 4 Absatz 1 bis 3 genannten Daten an die Registerbehörde zu einem Zeitpunkt, der einvernehmlich festgelegt worden ist. Nachfolgende Änderungen dieses Datenbestandes werden der Registerbehörde fortlaufend übermittelt. Die Sätze 1 und 2 gelten auch für Daten und ihre Änderungen aus Erlaubnissen nach § 57 Absatz 1 des Waffengesetzes und fortgeltenden Erlaubnissen nach § 58 Absatz 1 des Waffengesetzes.</w:t>
      </w:r>
    </w:p>
    <w:p>
      <w:r>
        <w:t xml:space="preserve">(2) Bei der Übermittlung nach Absatz 1 Satz 1 und 3 kann von den in der Rechtsverordnung nach § 20 Absatz 1 Nummer 1 und 2 festgelegten Anforderungen abgewichen werden, soweit die Daten bei der übermittelnden Behörde noch nicht in dieser Form vorliegen. Die hierbei einzuhaltenden Mindestanforderungen werden durch Rechtsverordnung des Bundesministeriums des Innern, für Bau und Heimat mit Zustimmung des Bundesrates festgelegt.</w:t>
      </w:r>
    </w:p>
    <w:p>
      <w:r>
        <w:t xml:space="preserve">(3) Macht eine übermittelnde Stelle von Absatz 2 Satz 1 Gebrauch, so passt sie bei der nächsten Änderung eines Datensatzes diesen gesamten Datensatz an die Vorgaben der auf Grund von § 20 Absatz 1 Nummer 2 ergangenen Rechtsverordnung an, spätestens jedoch bis zum 31. Dezember 2017. Sie übermittelt die angepassten Datensätze unverzüglich der Registerbehörde.</w:t>
      </w:r>
    </w:p>
    <w:p>
      <w:r>
        <w:rPr>
          <w:color w:val="555555"/>
          <w:sz w:val="17"/>
        </w:rPr>
        <w:t xml:space="preserve">Zitiervorschlag: § 22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