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NWRG — Ausschluss abweichenden Landesrechts</w:t>
      </w:r>
    </w:p>
    <w:p>
      <w:r>
        <w:rPr>
          <w:color w:val="555555"/>
          <w:sz w:val="18"/>
        </w:rPr>
        <w:t xml:space="preserve">Nationales-Waffenregister-Gesetz</w:t>
      </w:r>
    </w:p>
    <w:p>
      <w:r>
        <w:rPr>
          <w:color w:val="555555"/>
          <w:sz w:val="18"/>
        </w:rPr>
        <w:t xml:space="preserve">Historische Fassung: Stand 10.06.2019 bis 01.09.2020. Dies ist nicht die aktuelle Fassung.</w:t>
      </w:r>
    </w:p>
    <w:p>
      <w:r>
        <w:t xml:space="preserve">Von den in diesem Gesetz oder auf Grund dieses Gesetzes getroffenen Regelungen des Verwaltungsverfahrens kann nicht durch Landesrecht abgewichen werden.</w:t>
      </w:r>
    </w:p>
    <w:p>
      <w:r>
        <w:rPr>
          <w:color w:val="555555"/>
          <w:sz w:val="17"/>
        </w:rPr>
        <w:t xml:space="preserve">Zitiervorschlag: § 21 NWRG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https://recht.nulegal.eu/gesetze/NWRG/21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