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NWRG — Begriffsbestimmungen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Im Sinne dieses Gesetzes sind:</w:t>
      </w:r>
    </w:p>
    <w:p>
      <w:pPr>
        <w:ind w:left="420"/>
      </w:pPr>
      <w:r>
        <w:t xml:space="preserve">1. Personen: natürliche und juristische Personen sowie Personenvereinigungen, sofern ihnen waffenrechtliche Erlaubnisse, Ausnahmen, Anordnungen, Sicherstellungen oder Verbote erteilt wurden,</w:t>
      </w:r>
    </w:p>
    <w:p>
      <w:pPr>
        <w:ind w:left="420"/>
      </w:pPr>
      <w:r>
        <w:t xml:space="preserve">2. Waffen:</w:t>
      </w:r>
    </w:p>
    <w:p>
      <w:pPr>
        <w:ind w:left="780"/>
      </w:pPr>
      <w:r>
        <w:t xml:space="preserve">a) erlaubnispflichtige Schusswaffen, ausgenommen diejenigen Waffen, deren Erwerb und Besitz gemäß Anlage 2 Abschnitt 2 Unterabschnitt 2 Nummer 1 des Waffengesetzes erlaubnisfrei sind,</w:t>
      </w:r>
    </w:p>
    <w:p>
      <w:pPr>
        <w:ind w:left="780"/>
      </w:pPr>
      <w:r>
        <w:t xml:space="preserve">b) wesentliche Teile von Schusswaffen nach Anlage 1 Abschnitt 1 Unterabschnitt 1 Nummer 1.3 und 3 des Waffengesetzes,</w:t>
      </w:r>
    </w:p>
    <w:p>
      <w:pPr>
        <w:ind w:left="780"/>
      </w:pPr>
      <w:r>
        <w:t xml:space="preserve">c) verbotene Waffen nach Anlage 2 Abschnitt 1 des Waffengesetzes, für die auf Grund einer Ausnahmegenehmigung des Bundeskriminalamtes nach § 40 Absatz 4 des Waffengesetzes der Umgang zugelassen wurde, sowie</w:t>
      </w:r>
    </w:p>
    <w:p>
      <w:pPr>
        <w:ind w:left="780"/>
      </w:pPr>
      <w:r>
        <w:t xml:space="preserve">d) Kriegsschusswaffen nach Anlage 1 Abschnitt 3 Nummer 1.1 des Waffengesetzes sowie nach den Nummern 34 und 35 der Anlage Teil B zu § 1 Absatz 1 des Gesetzes über die Kontrolle von Kriegswaffen in der Fassung der Bekanntmachung vom 22. November 1990 (BGBl. I S. 2506), das zuletzt durch Artikel 2 des Gesetzes vom 6. Juni 2009 (BGBl. 2009 II S. 502) geändert worden ist,</w:t>
      </w:r>
    </w:p>
    <w:p>
      <w:pPr>
        <w:ind w:left="420"/>
      </w:pPr>
      <w:r>
        <w:t xml:space="preserve">3. waffenrechtliche Erlaubnisse: die Erlaubnis des Umgangs mit Waffen nach § 10 Absatz 1, 4 und 5, § 21 Absatz 1 Satz 1, den §§ 21a, 26 Absatz 1 Satz 1, die Erlaubnis zum Verbringen von Waffen nach den §§ 29 bis 31, zur Mitnahme von Waffen nach § 32 Absatz 1 und 6, die Ausnahme von Verboten nach § 40 Absatz 4 und § 42 Absatz 2 sowie besondere Berechtigungen nach § 57 Absatz 1 Satz 2 und § 58 Absatz 1 des Waffengesetzes,</w:t>
      </w:r>
    </w:p>
    <w:p>
      <w:pPr>
        <w:ind w:left="420"/>
      </w:pPr>
      <w:r>
        <w:t xml:space="preserve">4. Waffenbehörden:</w:t>
      </w:r>
    </w:p>
    <w:p>
      <w:pPr>
        <w:ind w:left="780"/>
      </w:pPr>
      <w:r>
        <w:t xml:space="preserve">a) die nach Landesrecht zum Vollzug des Waffenrechts bestimmten Behörden,</w:t>
      </w:r>
    </w:p>
    <w:p>
      <w:pPr>
        <w:ind w:left="780"/>
      </w:pPr>
      <w:r>
        <w:t xml:space="preserve">b) das Bundeskriminalamt in den Fällen des § 40 Absatz 4 des Waffengesetzes,</w:t>
      </w:r>
    </w:p>
    <w:p>
      <w:pPr>
        <w:ind w:left="780"/>
      </w:pPr>
      <w:r>
        <w:t xml:space="preserve">c) das Bundesverwaltungsamt, soweit es nach § 48 Absatz 2 des Waffengesetzes tätig wird, sowie</w:t>
      </w:r>
    </w:p>
    <w:p>
      <w:pPr>
        <w:ind w:left="780"/>
      </w:pPr>
      <w:r>
        <w:t xml:space="preserve">d) das Bundesamt für Wirtschafts- und Ausfuhrkontrolle im Fall des § 57 Absatz 1 des Waffengesetzes,</w:t>
      </w:r>
    </w:p>
    <w:p>
      <w:pPr>
        <w:ind w:left="420"/>
      </w:pPr>
      <w:r>
        <w:t xml:space="preserve">5. Anträge auf Erteilung einer waffenrechtlichen Erlaubnis:der Antrag auf erstmalige Erteilung einer waffenrechtlichen Erlaubnis sowie die Benennung nach § 10 Absatz 2 Satz 3, § 28 Absatz 3 Satz 1 oder § 28a Absatz 1 Satz 3 Nummer 2 des Waffengesetzes.</w:t>
      </w:r>
    </w:p>
    <w:p>
      <w:r>
        <w:rPr>
          <w:color w:val="555555"/>
          <w:sz w:val="17"/>
        </w:rPr>
        <w:t xml:space="preserve">Zitiervorschlag: § 2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