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NWRG — Mitteilungspflicht im Zusammenhang mit der Berichtigung oder Löschung personenbezogener Daten oder der Einschränkung der Verarbeitung</w:t>
      </w:r>
    </w:p>
    <w:p>
      <w:r>
        <w:rPr>
          <w:color w:val="555555"/>
          <w:sz w:val="18"/>
        </w:rPr>
        <w:t xml:space="preserve">Nationales-Waffenregister-Gesetz</w:t>
      </w:r>
    </w:p>
    <w:p>
      <w:r>
        <w:rPr>
          <w:color w:val="555555"/>
          <w:sz w:val="18"/>
        </w:rPr>
        <w:t xml:space="preserve">Historische Fassung: Stand 02.12.2019 bis 01.09.2020. Dies ist nicht die aktuelle Fassung.</w:t>
      </w:r>
    </w:p>
    <w:p>
      <w:r>
        <w:t xml:space="preserve">Die Pflicht des Verantwortlichen zur Unterrichtung der betroffenen Person nach Artikel 19 Satz 2 der Verordnung (EU) 2016/679 besteht nicht, sofern das Auskunftsrecht der betroffenen Person beschränkt ist.</w:t>
      </w:r>
    </w:p>
    <w:p>
      <w:r>
        <w:rPr>
          <w:color w:val="555555"/>
          <w:sz w:val="17"/>
        </w:rPr>
        <w:t xml:space="preserve">Zitiervorschlag: § 19a NWRG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