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NWRG — Auskunftsrecht der betroffenen Person</w:t>
      </w:r>
    </w:p>
    <w:p>
      <w:r>
        <w:rPr>
          <w:color w:val="555555"/>
          <w:sz w:val="18"/>
        </w:rPr>
        <w:t xml:space="preserve">Nationales-Waffenregister-Gesetz</w:t>
      </w:r>
    </w:p>
    <w:p>
      <w:r>
        <w:rPr>
          <w:color w:val="555555"/>
          <w:sz w:val="18"/>
        </w:rPr>
        <w:t xml:space="preserve">Historische Fassung: Stand 02.12.2019 bis 01.09.2020. Dies ist nicht die aktuelle Fassung.</w:t>
      </w:r>
    </w:p>
    <w:p>
      <w:r>
        <w:t xml:space="preserve">(1) Die betroffene Person hat bei der Geltendmachung des Auskunftsrechts nach Artikel 15 der Verordnung (EU) 2016/679 ihre Identität durch Vorlage einer amtlich beglaubigten Ausweiskopie oder amtlich beglaubigten Unterschrift nachzuweisen. Die Registerbehörde sendet die Ausweiskopie auf Verlangen der betroffenen Person nach Auskunftserteilung an diese zurück. Im Übrigen hat die Registerbehörde die Ausweiskopie spätestens ein Jahr nach Auskunftserteilung zu vernichten.</w:t>
      </w:r>
    </w:p>
    <w:p>
      <w:r>
        <w:t xml:space="preserve">(2) Über die Beschränkung des Auskunftsrechts nach Maßgabe des Bundesdatenschutzgesetzes entscheidet die Registerbehörde im Benehmen mit der Waffenbehörde, die die Daten übermittelt hat.</w:t>
      </w:r>
    </w:p>
    <w:p>
      <w:r>
        <w:t xml:space="preserve">(3) Sind gespeicherte Daten unrichtig oder unvollständig, so hat die Registerbehörde der zuständigen Waffenbehörde unverzüglich einen entsprechenden Hinweis zu übermitteln.</w:t>
      </w:r>
    </w:p>
    <w:p>
      <w:r>
        <w:rPr>
          <w:color w:val="555555"/>
          <w:sz w:val="17"/>
        </w:rPr>
        <w:t xml:space="preserve">Zitiervorschlag: § 19 NWRG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https://recht.nulegal.eu/gesetze/NWRG/19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