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NWRG — Löschung von Daten</w:t>
      </w:r>
    </w:p>
    <w:p>
      <w:r>
        <w:rPr>
          <w:color w:val="555555"/>
          <w:sz w:val="18"/>
        </w:rPr>
        <w:t xml:space="preserve">Nationales-Waffenregister-Gesetz</w:t>
      </w:r>
    </w:p>
    <w:p>
      <w:r>
        <w:rPr>
          <w:color w:val="555555"/>
          <w:sz w:val="18"/>
        </w:rPr>
        <w:t xml:space="preserve">Historische Fassung: Stand 10.06.2019 bis 01.09.2020. Dies ist nicht die aktuelle Fassung.</w:t>
      </w:r>
    </w:p>
    <w:p>
      <w:r>
        <w:t xml:space="preserve">(1) Die Registerbehörde löscht auf Veranlassung der zuständigen Waffenbehörde die im Nationalen Waffenregister gespeicherten Daten, wenn sie zur Aufgabenerfüllung nicht mehr erforderlich sind.</w:t>
      </w:r>
    </w:p>
    <w:p>
      <w:r>
        <w:t xml:space="preserve">(2) Im Übrigen werden die im Nationalen Waffenregister gespeicherten Daten auf Veranlassung der zuständigen Waffenbehörde gelöscht:</w:t>
      </w:r>
    </w:p>
    <w:p>
      <w:pPr>
        <w:ind w:left="420"/>
      </w:pPr>
      <w:r>
        <w:t xml:space="preserve">1. in den Fällen des § 3 Nummer 1 Buchstabe b, Nummer 2, 3, 8, 17, 19, 21, 22, 23 und 24 nach Ablauf von 20 Jahren nach Aufgabe oder der endgültigen Entziehung des letzten Waffenbesitzes durch den Erlaubnisinhaber oder nach Ablauf von 20 Jahren nach dessen Tod,</w:t>
      </w:r>
    </w:p>
    <w:p>
      <w:pPr>
        <w:ind w:left="420"/>
      </w:pPr>
      <w:r>
        <w:t xml:space="preserve">2. im Fall des § 3 Nummer 7 nach Ablauf von 20 Jahren nach Erlöschen der Erlaubnis,</w:t>
      </w:r>
    </w:p>
    <w:p>
      <w:pPr>
        <w:ind w:left="420"/>
      </w:pPr>
      <w:r>
        <w:t xml:space="preserve">3. in den Fällen des § 3 Nummer 1 Buchstabe a, Nummer 4, 5, 9, 11, 12 und 20 einen Monat nach Erlöschen der Erlaubnis,</w:t>
      </w:r>
    </w:p>
    <w:p>
      <w:pPr>
        <w:ind w:left="420"/>
      </w:pPr>
      <w:r>
        <w:t xml:space="preserve">4. in den Fällen des § 3 Nummer 16 mit Erlöschen der Erlaubnis oder der Nebenbestimmung,</w:t>
      </w:r>
    </w:p>
    <w:p>
      <w:pPr>
        <w:ind w:left="420"/>
      </w:pPr>
      <w:r>
        <w:t xml:space="preserve">5. im Fall des § 3 Nummer 11 Buchstabe a nach Ablauf von 30 Jahren nach Einstellung des Betriebes,</w:t>
      </w:r>
    </w:p>
    <w:p>
      <w:pPr>
        <w:ind w:left="420"/>
      </w:pPr>
      <w:r>
        <w:t xml:space="preserve">6. in den Fällen des § 3 Nummer 11 Buchstabe b nach Ablauf von 20 Jahren nach Einstellung des Betriebes,</w:t>
      </w:r>
    </w:p>
    <w:p>
      <w:pPr>
        <w:ind w:left="420"/>
      </w:pPr>
      <w:r>
        <w:t xml:space="preserve">7. in den Fällen des § 3 Nummer 13, 14 und 15 nach Ablauf von 20 Jahren nach Erteilung der Erlaubnis,</w:t>
      </w:r>
    </w:p>
    <w:p>
      <w:pPr>
        <w:ind w:left="420"/>
      </w:pPr>
      <w:r>
        <w:t xml:space="preserve">8. im Fall des § 3 Nummer 6 bei Tod des Erlaubnisinhabers oder bei Rückgabe des Erlaubnisdokumentes,</w:t>
      </w:r>
    </w:p>
    <w:p>
      <w:pPr>
        <w:ind w:left="420"/>
      </w:pPr>
      <w:r>
        <w:t xml:space="preserve">9. im Fall des § 3 Nummer 18 nach bestandskräftiger oder rechtskräftiger Aufhebung des Waffenverbotes,</w:t>
      </w:r>
    </w:p>
    <w:p>
      <w:pPr>
        <w:ind w:left="420"/>
      </w:pPr>
      <w:r>
        <w:t xml:space="preserve">10. im Fall des § 3 Nummer 25 unverzüglich nach Erteilung der beantragten waffenrechtlichen Erlaubnis, Rücknahme des Antrages durch den Antragsteller oder Unanfechtbarkeit der Entscheidung einer Waffenbehörde bei Versagung der Erlaubnis,</w:t>
      </w:r>
    </w:p>
    <w:p>
      <w:pPr>
        <w:ind w:left="420"/>
      </w:pPr>
      <w:r>
        <w:t xml:space="preserve">11. im Fall des § 3 Nummer 26 nach Ablauf von fünf Jahren.</w:t>
      </w:r>
    </w:p>
    <w:p>
      <w:r>
        <w:rPr>
          <w:color w:val="555555"/>
          <w:sz w:val="17"/>
        </w:rPr>
        <w:t xml:space="preserve">Zitiervorschlag: § 18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