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NWRG — Datenübermittlung für statistische Zwecke</w:t>
      </w:r>
    </w:p>
    <w:p>
      <w:r>
        <w:rPr>
          <w:color w:val="555555"/>
          <w:sz w:val="18"/>
        </w:rPr>
        <w:t xml:space="preserve">Nationales-Waffenregister-Gesetz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(1) Ohne Bindung an den Zweck des Nationalen Waffenregisters können den Waffenbehörden und den für das Waffenrecht zuständigen obersten und oberen Bundes- und Landesbehörden sowie den Landeskriminalämtern zur Sammlung, Aufbereitung, Darstellung und Analyse Daten übermittelt werden.</w:t>
      </w:r>
    </w:p>
    <w:p>
      <w:r>
        <w:t xml:space="preserve">(2) Die Daten dürfen keinen Bezug zu einer bestimmten oder bestimmbaren Person ermöglichen.</w:t>
      </w:r>
    </w:p>
    <w:p>
      <w:r>
        <w:t xml:space="preserve">(3) Die Daten dürfen den genannten Behörden nur für ihren jeweiligen Zuständigkeitsbereich übermittelt werden. Ergänzend hierzu können für Vergleichszwecke auf Antrag die korrespondierenden Gesamtzahlen im Bundesgebiet übermittelt werden.</w:t>
      </w:r>
    </w:p>
    <w:p>
      <w:r>
        <w:rPr>
          <w:color w:val="555555"/>
          <w:sz w:val="17"/>
        </w:rPr>
        <w:t xml:space="preserve">Zitiervorschlag: § 15 NWRG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