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NWRG — Gruppenauskunft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02.12.2019 bis 01.09.2020. Dies ist nicht die aktuelle Fassung.</w:t>
      </w:r>
    </w:p>
    <w:p>
      <w:r>
        <w:t xml:space="preserve">(1) In einem Übermittlungsersuchen kann um die Übermittlung mehrerer Daten ersucht werden, die nicht mit jeweils allen nach § 11 Absatz 2 erforderlichen Angaben bezeichnet sind, wenn</w:t>
      </w:r>
    </w:p>
    <w:p>
      <w:pPr>
        <w:ind w:left="420"/>
      </w:pPr>
      <w:r>
        <w:t xml:space="preserve">1. dies zur Abwehr einer konkreten Gefahr für Leib, Leben, Gesundheit, Freiheit einer Person oder bedeutende Sach- oder Vermögenswerte oder für Zwecke der Strafrechtspflege erforderlich ist und die Daten auf andere Weise nicht, nur mit unverhältnismäßigem Aufwand oder nicht rechtzeitig erlangt werden können,</w:t>
      </w:r>
    </w:p>
    <w:p>
      <w:pPr>
        <w:ind w:left="420"/>
      </w:pPr>
      <w:r>
        <w:t xml:space="preserve">2. die Daten auf Grund im Register gespeicherter und im Übermittlungsersuchen angegebener gemeinsamer Merkmale zu einer Gruppe gehören, und</w:t>
      </w:r>
    </w:p>
    <w:p>
      <w:pPr>
        <w:ind w:left="420"/>
      </w:pPr>
      <w:r>
        <w:t xml:space="preserve">3. die Leitung der ersuchenden Stelle oder eine von der Leitung für solche Zustimmungen bestellte Vertretung in leitender Stellung zustimmt, sofern nicht ein Gericht oder eine Staatsanwaltschaft um die Übermittlung ersucht.</w:t>
      </w:r>
    </w:p>
    <w:p>
      <w:r>
        <w:t xml:space="preserve">(2) Für die Datenübermittlung auf Grund eines Übermittlungsersuchens nach Absatz 1 (Gruppenauskunft) gilt § 11 Absatz 1 entsprechend.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12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