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NWRG-DV</w:t>
      </w:r>
    </w:p>
    <w:p>
      <w:r>
        <w:rPr>
          <w:color w:val="555555"/>
          <w:sz w:val="18"/>
        </w:rPr>
        <w:t xml:space="preserve">Waffenregistergesetz-Durchführungsverordnung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20 Absatz 1 und 2 sowie des § 22 Absatz 2 Satz 2 des Nationalen-Waffenregister-Gesetzes vom 25. Juni 2012 (BGBl. I S. 1366) verordnet das Bundesministerium des Innern:</w:t>
      </w:r>
    </w:p>
    <w:p>
      <w:r>
        <w:rPr>
          <w:color w:val="555555"/>
          <w:sz w:val="17"/>
        </w:rPr>
        <w:t xml:space="preserve">Zitiervorschlag: Eingangsformel NWRG-DV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https://recht.nulegal.eu/gesetze/NWRG-DV/eingangsformel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