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NWRG-DV — Inkrafttreten</w:t>
      </w:r>
    </w:p>
    <w:p>
      <w:r>
        <w:rPr>
          <w:color w:val="555555"/>
          <w:sz w:val="18"/>
        </w:rPr>
        <w:t xml:space="preserve">Waffenregistergesetz-Durchführungsverordnung</w:t>
      </w:r>
    </w:p>
    <w:p>
      <w:r>
        <w:rPr>
          <w:color w:val="555555"/>
          <w:sz w:val="18"/>
        </w:rPr>
        <w:t xml:space="preserve">Stand: 22.09.2020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NWRG-DV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https://recht.nulegal.eu/gesetze/NWRG-DV/8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