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NWRG-DV — Identitätsfeststellung durch die zum Ersuchen berechtigten Stellen</w:t>
      </w:r>
    </w:p>
    <w:p>
      <w:r>
        <w:rPr>
          <w:color w:val="555555"/>
          <w:sz w:val="18"/>
        </w:rPr>
        <w:t xml:space="preserve">Waffenregistergesetz-Durchführungsverordnung</w:t>
      </w:r>
    </w:p>
    <w:p>
      <w:r>
        <w:rPr>
          <w:color w:val="555555"/>
          <w:sz w:val="18"/>
        </w:rPr>
        <w:t xml:space="preserve">Stand: 22.09.2020 (konsolidierte Textfassung, kein amtliches Inkrafttretensdatum)</w:t>
      </w:r>
    </w:p>
    <w:p>
      <w:r>
        <w:t xml:space="preserve">Ähnliche Personen, ähnliche Kaufleute, ähnliche juristische Personen, ähnliche Personenvereinigungen und ähnliche Waffen im Sinne des § 16 Absatz 3 des Waffenregistergesetzes sind solche, deren Daten nach § 6 Absatz 1 des Waffenregistergesetzes oder abweichende Namensschreibweisen mit den im Übermittlungsersuchen angegebenen Daten nach § 6 Absatz 1 des Waffenregistergesetzes übereinstimmen oder nur geringfügig davon abweichen.</w:t>
      </w:r>
    </w:p>
    <w:p>
      <w:r>
        <w:rPr>
          <w:color w:val="555555"/>
          <w:sz w:val="17"/>
        </w:rPr>
        <w:t xml:space="preserve">Zitiervorschlag: § 6 NWRG-DV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https://recht.nulegal.eu/gesetze/NWRG-DV/6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