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NWRG-DV — Datenübermittlung an die Registerbehörde</w:t>
      </w:r>
    </w:p>
    <w:p>
      <w:r>
        <w:rPr>
          <w:color w:val="555555"/>
          <w:sz w:val="18"/>
        </w:rPr>
        <w:t xml:space="preserve">Waffenregistergesetz-Durchführungsverordnung</w:t>
      </w:r>
    </w:p>
    <w:p>
      <w:r>
        <w:rPr>
          <w:color w:val="555555"/>
          <w:sz w:val="18"/>
        </w:rPr>
        <w:t xml:space="preserve">Stand: 22.09.2020 (konsolidierte Textfassung, kein amtliches Inkrafttretensdatum)</w:t>
      </w:r>
    </w:p>
    <w:p>
      <w:r>
        <w:t xml:space="preserve">(1) Die Datenübermittlung der Waffenbehörden erfolgt über die informationstechnischen Netze von Bund, Ländern und Kommunen. Die Datenübermittlung zwischen dem Bund und den Ländern erfolgt gemäß § 3 des Gesetzes zur Ausführung von Artikel 91c Absatz 4 des Grundgesetzes vom 10. August 2009 (BGBl. I S. 2702, 2706) in der jeweils geltenden Fassung über das Verbindungsnetz.</w:t>
      </w:r>
    </w:p>
    <w:p>
      <w:r>
        <w:t xml:space="preserve">(2) Die Datenübermittlung durch die Waffenbehörden an die Registerbehörde erfolgt elektronisch unter Nutzung des Datenaustauschstandards XWaffe vom 6. Juli 2012 (BAnz AT 22.08.2012 B3) in der jeweils aktuellen Fassung. Änderungen des Datenaustauschstandards XWaffe werden vom Bundesministerium des Innern, für Bau und Heimat im Bundesanzeiger bekannt gemacht; anzugeben ist das Herausgabedatum und ab wann der geänderte Datenaustauschstandard XWaffe anzuwenden ist.</w:t>
      </w:r>
    </w:p>
    <w:p>
      <w:r>
        <w:t xml:space="preserve">(3) Der Datenübertragung werden allgemein anerkannte Standards zugrunde gelegt. Die Verschlüsselung erfolgt nach dem jeweiligen Stand der Technik. Die von der Registerbehörde im Bundesanzeiger bekannt gemachten technischen Ausführungsregeln vom 29. Juni 2012 (BAnz AT 22.08.2012 B7) sind in der jeweils aktuellen Fassung anzuwenden. Änderungen werden von der Registerbehörde im Bundesanzeiger bekannt gemacht; anzugeben ist, ab wann die geänderten Ausführungsregeln anzuwenden sind.</w:t>
      </w:r>
    </w:p>
    <w:p>
      <w:r>
        <w:t xml:space="preserve">(4) Der jeweils aktuelle Stand des Datenaustauschstandards XWaffe und der technischen Ausführungsregeln sind beim Bundesverwaltungsamt, Barbarastraße 1, 50735 Köln, zu beziehen. Die Bekanntmachungen sind beim Bundesarchiv, Potsdamer Straße 1, 56075 Koblenz, jedermann zugänglich und archivmäßig gesichert niedergelegt.</w:t>
      </w:r>
    </w:p>
    <w:p>
      <w:r>
        <w:rPr>
          <w:color w:val="555555"/>
          <w:sz w:val="17"/>
        </w:rPr>
        <w:t xml:space="preserve">Zitiervorschlag: § 2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