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NWGrStHsG (Nordrhein-Westfalen) — Inkrafttreten</w:t>
      </w:r>
    </w:p>
    <w:p>
      <w:r>
        <w:rPr>
          <w:color w:val="555555"/>
          <w:sz w:val="18"/>
        </w:rPr>
        <w:t xml:space="preserve">Nordrhein-Westfalens Grundsteuerhebesatzgesetz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der Finanzen</w:t>
      </w:r>
    </w:p>
    <w:p>
      <w:r>
        <w:t xml:space="preserve">Die Ministerin für Heimat, Kommunales, Bau und Digitalisierung</w:t>
      </w:r>
    </w:p>
    <w:p>
      <w:r>
        <w:t xml:space="preserve">Der Minister der Justiz</w:t>
      </w:r>
    </w:p>
    <w:p>
      <w:r>
        <w:t xml:space="preserve">Für die Ministerin für Wirtschaft, Industrie, Klimaschutz und Energie</w:t>
      </w:r>
    </w:p>
    <w:p>
      <w:r>
        <w:rPr>
          <w:color w:val="555555"/>
          <w:sz w:val="17"/>
        </w:rPr>
        <w:t xml:space="preserve">Zitiervorschlag: § 4 NWGrStHsG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https://recht.nulegal.eu/gesetze/NWGrStHsG/4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