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NWGrStHsG (Nordrhein-Westfalen) — Erstmalige Anwendung</w:t>
      </w:r>
    </w:p>
    <w:p>
      <w:r>
        <w:rPr>
          <w:color w:val="555555"/>
          <w:sz w:val="18"/>
        </w:rPr>
        <w:t xml:space="preserve">Nordrhein-Westfalens Grundsteuerhebesatzgesetz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ist für die in Nordrhein-Westfalen belegenen wirtschaftlichen Einheiten erstmals auf den 1. Januar 2025 anzuwenden.</w:t>
      </w:r>
    </w:p>
    <w:p>
      <w:r>
        <w:rPr>
          <w:color w:val="555555"/>
          <w:sz w:val="17"/>
        </w:rPr>
        <w:t xml:space="preserve">Zitiervorschlag: § 3 NWGrStHsG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https://recht.nulegal.eu/gesetze/NWGrStHsG/3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