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NWFreiV (Bayern)</w:t>
      </w:r>
    </w:p>
    <w:p>
      <w:r>
        <w:rPr>
          <w:color w:val="555555"/>
          <w:sz w:val="18"/>
        </w:rPr>
        <w:t xml:space="preserve">Niederschlagswasserfreistellungsverordnung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33 Abs. 2 des Bayerischen Wassergesetzes (BayWG) in der Fassung der Bekanntmachung vom 19. Juli 1994 (GVBl S. 822, BayRS 753-1-U), zuletzt geändert durch § 6 des Gesetzes vom 27. Dezember 1999 (GVBl S. 532), erlässt das Bayerische Staatsministerium für Landesentwicklung und Umweltfragen folgende Verordnung:</w:t>
      </w:r>
    </w:p>
    <w:p>
      <w:r>
        <w:rPr>
          <w:color w:val="555555"/>
          <w:sz w:val="17"/>
        </w:rPr>
        <w:t xml:space="preserve">Zitiervorschlag: Eingangsformel NWFreiV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https://recht.nulegal.eu/gesetze/NWFreiV/eingangsformel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