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NVG (Brandenburg) — Inkrafttreten</w:t>
      </w:r>
    </w:p>
    <w:p>
      <w:r>
        <w:rPr>
          <w:color w:val="555555"/>
          <w:sz w:val="18"/>
        </w:rPr>
        <w:t xml:space="preserve">Neugliederungsvertragsgesetz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Artikel 2 Nr. 1 Buchstabe a und Artikel 2 Nr. 2 treten an dem Tag in Kraft, an dem der Neugliederungs-Vertrag in Kraft tritt. Im übrigen tritt dieses Gesetz am Tage nach der Verkündung in Kraft.</w:t>
      </w:r>
    </w:p>
    <w:p>
      <w:r>
        <w:t xml:space="preserve">Der Tag, an dem der Neugliederungs-Vertrag nach seinem Artikel 60 und Artikel 2 Nr. 1 Buchstabe a und Artikel 2 Nr. 2 dieses Gesetzes in Kraft tritt, sowie der Tag, an dem der Staatsvertrag zur Regelung der Volksabstimmungen in den Ländern Berlin und Brandenburg über den Neugliederungs-Vertrag nach seinem Artikel 23 in Kraft tritt, ist im Gesetz- und Verordnungsblatt für das Land Brandenburg Teil I bekanntzugeben.</w:t>
      </w:r>
    </w:p>
    <w:p>
      <w:r>
        <w:t xml:space="preserve">Potsdam, den 27. Juni 1995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Anlage 1 - Staatsvertrag der Länder Berlin und Brandenburg über die Bildung eines gemeinsamen Bundeslandes (Neugliederungs-Vertrag) - nicht in Kraft getreten (GVBl. I/96 S. 168)</w:t>
      </w:r>
    </w:p>
    <w:p>
      <w:r>
        <w:t xml:space="preserve">Anlage 2 - Staatsvertrag zur Regelung der Volksabstimmungen in den Ländern Berlin und Brandenburg über den Neugliederungs-Vertrag - nicht in Kraft getreten (GVBl. I/96 S. 168)</w:t>
      </w:r>
    </w:p>
    <w:p>
      <w:r>
        <w:rPr>
          <w:color w:val="555555"/>
          <w:sz w:val="17"/>
        </w:rPr>
        <w:t xml:space="preserve">Zitiervorschlag: Art 4 NVG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https://recht.nulegal.eu/gesetze/NVG/4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