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NSVerbG — Inkrafttreten</w:t>
      </w:r>
    </w:p>
    <w:p>
      <w:r>
        <w:rPr>
          <w:color w:val="555555"/>
          <w:sz w:val="18"/>
        </w:rPr>
        <w:t xml:space="preserve">Gesetz zur Regelung der Verbindlichkeiten nationalsozialistischer Einrichtungen und der Rechtsverhältnisse an deren Vermögen</w:t>
      </w:r>
    </w:p>
    <w:p>
      <w:r>
        <w:rPr>
          <w:color w:val="555555"/>
          <w:sz w:val="18"/>
        </w:rPr>
        <w:t xml:space="preserve">Stand: 10.06.2019 (konsolidierte Textfassung, kein amtliches Inkrafttretensdatum)</w:t>
      </w:r>
    </w:p>
    <w:p>
      <w:r>
        <w:t xml:space="preserve">Dieses Gesetz tritt am ersten Tage des auf die Verkündung folgenden dritten Kalendermonats in Kraft mit Ausnahme der §§ 20 bis 23, die am ersten Tage des auf die Verkündung folgenden Kalendermonats in Kraft treten.</w:t>
      </w:r>
    </w:p>
    <w:p>
      <w:r>
        <w:rPr>
          <w:color w:val="555555"/>
          <w:sz w:val="17"/>
        </w:rPr>
        <w:t xml:space="preserve">Zitiervorschlag: § 34 NSVerbG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https://recht.nulegal.eu/gesetze/NSVerbG/34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