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NSVerbG — Geltung in Berlin</w:t>
      </w:r>
    </w:p>
    <w:p>
      <w:r>
        <w:rPr>
          <w:color w:val="555555"/>
          <w:sz w:val="18"/>
        </w:rPr>
        <w:t xml:space="preserve">Gesetz zur Regelung der Verbindlichkeiten nationalsozialistischer Einrichtungen und der Rechtsverhältnisse an deren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12 Abs. 1 und des § 13 Abs. 1 des Dritten Überleitungsgesetzes vom 4. Januar 1952 (Bundesgesetzbl. I S. 1) auch im Land Berlin; hierbei tritt in den §§ 25, 26 und 27 Abs. 3 und 4 an die Stelle des 20. Juni 1948 jeweils der 24. Juni 1948.</w:t>
      </w:r>
    </w:p>
    <w:p>
      <w:r>
        <w:rPr>
          <w:color w:val="555555"/>
          <w:sz w:val="17"/>
        </w:rPr>
        <w:t xml:space="preserve">Zitiervorschlag: § 33 NSVerbG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https://recht.nulegal.eu/gesetze/NSVerbG/33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