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NSVerbG — Dem Gesetz unterliegende Ansprüche</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Diesem Gesetz unterliegen die in § 3 Abs. 1 Nr. 4 des Allgemeinen Kriegsfolgengesetzes vom 5. November 1957 (Bundesgesetzbl. I S. 1747) einer gesetzlichen Regelung vorbehaltenen Ansprüche gegen nationalsozialistische Einrichtungen. Nationalsozialistische Einrichtungen im Sinne dieses Gesetzes sind</w:t>
      </w:r>
    </w:p>
    <w:p>
      <w:pPr>
        <w:ind w:left="420"/>
      </w:pPr>
      <w:r>
        <w:t xml:space="preserve">1. die ehemalige Nationalsozialistische Deutsche Arbeiterpartei (NSDAP), ihre Gliederungen, angeschlossenen Verbände und die übrigen Einrichtungen, die im Anhang zum Gesetz Nr. 2 des Kontrollrats aufgeführt sind,</w:t>
      </w:r>
    </w:p>
    <w:p>
      <w:pPr>
        <w:ind w:left="420"/>
      </w:pPr>
      <w:r>
        <w:t xml:space="preserve">2. sonstige Einrichtungen, deren Vermögen, falls es im Bereich nur einer zur Übertragung von Vermögen auf Grund der Direktive Nr. 50 des Kontrollrats befugten Dienststelle (Übertragungsbehörde) im Geltungsbereich dieses Gesetzes belegen war, von dieser, falls es im Bereich mehrerer Übertragungsbehörden belegen war, von diesen sämtlichen Übertragungsbehörden einheitlich als Vermögen einer nationalsozialistischen Einrichtung behandelt worden ist.</w:t>
      </w:r>
    </w:p>
    <w:p>
      <w:r>
        <w:rPr>
          <w:color w:val="555555"/>
          <w:sz w:val="17"/>
        </w:rPr>
        <w:t xml:space="preserve">Zitiervorschlag: § 1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