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NSGSylV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Absatz 2 in Verbindung mit Absatz 1 und 3, § 56 Absatz 1, § 32 Absatz 2 und 3, § 20 Absatz 2, § 22 Absatz 1 sowie § 23 Absatz 1 und Absatz 2 Satz 1 des Bundesnaturschutzgesetzes vom 29. Juli 2009 (BGBl. I S. 2542), von denen § 57 Absatz 2 durch Artikel 421 Nummer 7 der Verordnung vom 31. August 2015 (BGBl. I S. 1474) geändert worden ist, verordnet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