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NSGSylV — Ausnahmen und Befreiungen</w:t>
      </w:r>
    </w:p>
    <w:p>
      <w:r>
        <w:rPr>
          <w:color w:val="555555"/>
          <w:sz w:val="18"/>
        </w:rPr>
        <w:t xml:space="preserve">Verordnung über die Festsetzung des Naturschutzgebietes „Sylter Außenriff – Östliche Deutsche Bucht“</w:t>
      </w:r>
    </w:p>
    <w:p>
      <w:r>
        <w:rPr>
          <w:color w:val="555555"/>
          <w:sz w:val="18"/>
        </w:rPr>
        <w:t xml:space="preserve">Stand: 10.12.2024 (konsolidierte Textfassung, kein amtliches Inkrafttretensdatum)</w:t>
      </w:r>
    </w:p>
    <w:p>
      <w:r>
        <w:t xml:space="preserve">(1) Von den Verboten des § 6 Absatz 1 und 2 kann das Bundesamt für Naturschutz im Einzelfall auf Antrag eine Ausnahme erteilen, soweit die Handlung nach § 34 Absatz 2 des Bundesnaturschutzgesetzes nicht zu erheblichen Beeinträchtigungen der für den Schutzzweck nach den §§ 4 bis 5a maßgeblichen Bestandteile des Gebietes führen kann.</w:t>
      </w:r>
    </w:p>
    <w:p>
      <w:r>
        <w:t xml:space="preserve">(2) Von den Verboten des § 6 Absatz 1 und 2 kann das Bundesamt für Naturschutz auf Antrag nach Maßgabe des § 67 des Bundesnaturschutzgesetzes eine Befreiung gewähren.</w:t>
      </w:r>
    </w:p>
    <w:p>
      <w:r>
        <w:rPr>
          <w:color w:val="555555"/>
          <w:sz w:val="17"/>
        </w:rPr>
        <w:t xml:space="preserve">Zitiervorschlag: § 8 NSGSylV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https://recht.nulegal.eu/gesetze/NSGSylV/8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