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NSGSylV — Schutzzweck des Bereiches III</w:t>
      </w:r>
    </w:p>
    <w:p>
      <w:r>
        <w:rPr>
          <w:color w:val="555555"/>
          <w:sz w:val="18"/>
        </w:rPr>
        <w:t xml:space="preserve">Verordnung über die Festsetzung des Naturschutzgebietes „Sylter Außenriff – Östliche Deutsche Bucht“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(1) Zu den im Bereich III des Naturschutzgebietes verfolgten Schutzzwecken gehören die Erhaltung oder, soweit erforderlich, die Wiederherstellung eines günstigen Erhaltungszustands</w:t>
      </w:r>
    </w:p>
    <w:p>
      <w:pPr>
        <w:ind w:left="420"/>
      </w:pPr>
      <w:r>
        <w:t xml:space="preserve">1. der im Bereich vorkommenden Arten nach Anhang I der Richtlinie 2009/147/EG</w:t>
      </w:r>
    </w:p>
    <w:p>
      <w:pPr>
        <w:ind w:left="780"/>
      </w:pPr>
      <w:r>
        <w:t xml:space="preserve">a) Sterntaucher (Gavia stellata, EU-Code A001) und</w:t>
      </w:r>
    </w:p>
    <w:p>
      <w:pPr>
        <w:ind w:left="780"/>
      </w:pPr>
      <w:r>
        <w:t xml:space="preserve">b) Prachttaucher (Gavia arctica, EU-Code A002) sowie</w:t>
      </w:r>
    </w:p>
    <w:p>
      <w:pPr>
        <w:ind w:left="420"/>
      </w:pPr>
      <w:r>
        <w:t xml:space="preserve">2. des Bereiches in seiner Funktion als Nahrungs-, Überwinterungs-, Mauser, Durchzugs- und Rastgebiet für die genannten Arten.</w:t>
      </w:r>
    </w:p>
    <w:p>
      <w:r>
        <w:t xml:space="preserve">(2) Zum Schutz der Lebensräume und zur Sicherung des Überlebens und der Vermehrung der in Absatz 1 Nummer 1 aufgeführten Vogelarten sowie zum Schutz des Bereiches III in seinen in Absatz 1 Nummer 2 genannten Funktionen gilt § 5 Absatz 2 entsprechend.</w:t>
      </w:r>
    </w:p>
    <w:p>
      <w:r>
        <w:rPr>
          <w:color w:val="555555"/>
          <w:sz w:val="17"/>
        </w:rPr>
        <w:t xml:space="preserve">Zitiervorschlag: § 5a NSGSylV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https://recht.nulegal.eu/gesetze/NSGSylV/5a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