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NSGSylV — Schutzzweck des Bereiches I</w:t>
      </w:r>
    </w:p>
    <w:p>
      <w:r>
        <w:rPr>
          <w:color w:val="555555"/>
          <w:sz w:val="18"/>
        </w:rPr>
        <w:t xml:space="preserve">Verordnung über die Festsetzung des Naturschutzgebietes „Sylter Außenriff – Östliche Deutsche Bucht“</w:t>
      </w:r>
    </w:p>
    <w:p>
      <w:r>
        <w:rPr>
          <w:color w:val="555555"/>
          <w:sz w:val="18"/>
        </w:rPr>
        <w:t xml:space="preserve">Stand: 10.06.2019 (konsolidierte Textfassung, kein amtliches Inkrafttretensdatum)</w:t>
      </w:r>
    </w:p>
    <w:p>
      <w:r>
        <w:t xml:space="preserve">(1) Zu den im Bereich I des Naturschutzgebietes verfolgten Schutzzwecken gehören die Erhaltung oder, soweit erforderlich, die Wiederherstellung eines günstigen Erhaltungszustands</w:t>
      </w:r>
    </w:p>
    <w:p>
      <w:pPr>
        <w:ind w:left="420"/>
      </w:pPr>
      <w:r>
        <w:t xml:space="preserve">1. der den Bereich prägenden Lebensraumtypen nach Anhang I der Richtlinie 92/43/EWG Sandbänke mit nur schwacher ständiger Überspülung durch Meerwasser (EU-Code 1110) und Riffe (EU-Code 1170),</w:t>
      </w:r>
    </w:p>
    <w:p>
      <w:pPr>
        <w:ind w:left="420"/>
      </w:pPr>
      <w:r>
        <w:t xml:space="preserve">2. der Arten nach Anhang II der Richtlinie 92/43/EWG Flussneunauge (Lampetra fluviatilis, EU-Code 1099), Finte (Alosa fallax, EU-Code 1103), Schweinswal (Phocoena phocoena, EU-Code 1351), Kegelrobbe (Halichoerus grypus, EU-Code 1364) und Seehund (Phoca vitulina, EU-Code 1365).</w:t>
      </w:r>
    </w:p>
    <w:p>
      <w:r>
        <w:t xml:space="preserve">(2) Zum Schutz der in Absatz 1 Nummer 1 genannten Lebensraumtypen einschließlich ihrer charakteristischen Arten ist insbesondere erforderlich die Erhaltung oder, soweit erforderlich, die Wiederherstellung</w:t>
      </w:r>
    </w:p>
    <w:p>
      <w:pPr>
        <w:ind w:left="420"/>
      </w:pPr>
      <w:r>
        <w:t xml:space="preserve">1. der ökologischen Qualität der Habitatstrukturen und deren flächenmäßiger Ausdehnung,</w:t>
      </w:r>
    </w:p>
    <w:p>
      <w:pPr>
        <w:ind w:left="420"/>
      </w:pPr>
      <w:r>
        <w:t xml:space="preserve">2. der natürlichen Qualität dieser Lebensräume mit weitgehend natürlicher Verbreitung, Bestandsdichte und Dynamik der Populationen der charakteristischen Arten und der natürlichen Ausprägung ihrer Lebensgemeinschaften,</w:t>
      </w:r>
    </w:p>
    <w:p>
      <w:pPr>
        <w:ind w:left="420"/>
      </w:pPr>
      <w:r>
        <w:t xml:space="preserve">3. der Unzerschnittenheit der Lebensräume und ihrer Funktion als Regenerationsraum insbesondere für die benthische Fauna sowie</w:t>
      </w:r>
    </w:p>
    <w:p>
      <w:pPr>
        <w:ind w:left="420"/>
      </w:pPr>
      <w:r>
        <w:t xml:space="preserve">4. der Funktion des Gebietes als Startpunkt und Ausbreitungskorridor für die Wiederbesiedlung umliegender Gebiete durch die benthischen Arten und Lebensgemeinschaften.</w:t>
      </w:r>
    </w:p>
    <w:p>
      <w:r>
        <w:t xml:space="preserve">(3) Zum Schutz der in Absatz 1 Nummer 2 genannten Arten ist insbesondere erforderlich die Erhaltung oder, soweit erforderlich, die Wiederherstellung</w:t>
      </w:r>
    </w:p>
    <w:p>
      <w:pPr>
        <w:ind w:left="420"/>
      </w:pPr>
      <w:r>
        <w:t xml:space="preserve">1. der natürlichen Bestandsdichten dieser Arten mit dem Ziel der Erreichung eines günstigen Erhaltungszustands, ihrer natürlichen räumlichen und zeitlichen Verbreitung, ihres Gesundheitszustands und ihrer reproduktiven Fitness unter Berücksichtigung der natürlichen Populationsdynamik, der natürlichen genetischen Vielfalt innerhalb des Bestandes im Bereich sowie der genetischen Austauschmöglichkeiten mit Beständen außerhalb des Gebietes,</w:t>
      </w:r>
    </w:p>
    <w:p>
      <w:pPr>
        <w:ind w:left="420"/>
      </w:pPr>
      <w:r>
        <w:t xml:space="preserve">2. des Bereiches als weitgehend störungsfreies und von lokalen Verschmutzungen unbeeinträchtigtes Habitat der in Absatz 1 Nummer 2 genannten Säugetiere und insbesondere als besonders bedeutsames Fortpflanzungs-, Aufzuchts-, Nahrungs- und Migrationshabitat für Schweinswale im Bereich der südlichen Nordsee,</w:t>
      </w:r>
    </w:p>
    <w:p>
      <w:pPr>
        <w:ind w:left="420"/>
      </w:pPr>
      <w:r>
        <w:t xml:space="preserve">3. unzerschnittener Habitate und der Möglichkeit der Migration der in Absatz 1 Nummer 2 genannten Säugetiere in dänische Gewässer, in das unmittelbar angrenzende Schweinswalschutzgebiet des Landes Schleswig-Holstein und in die Schutzgebiete des Wattenmeeres und vor Helgoland,</w:t>
      </w:r>
    </w:p>
    <w:p>
      <w:pPr>
        <w:ind w:left="420"/>
      </w:pPr>
      <w:r>
        <w:t xml:space="preserve">4. der wesentlichen Nahrungsgrundlagen der in Absatz 1 Nummer 2 genannten Säugetiere, insbesondere der natürlichen Bestandsdichten, Altersklassenverteilungen und Verbreitungsmuster der diesen marinen Säugetierarten als Nahrungsgrundlage dienenden Organismen sowie</w:t>
      </w:r>
    </w:p>
    <w:p>
      <w:pPr>
        <w:ind w:left="420"/>
      </w:pPr>
      <w:r>
        <w:t xml:space="preserve">5. einer hohen Vitalität der Individuen und arttypischen Altersstruktur des Bestandes der Fische und Rundmäuler sowie der räumlichen und zeitlichen Verbreitungsmuster und Bestandsdichten ihrer natürlichen Nahrungsgrundlagen.</w:t>
      </w:r>
    </w:p>
    <w:p>
      <w:r>
        <w:rPr>
          <w:color w:val="555555"/>
          <w:sz w:val="17"/>
        </w:rPr>
        <w:t xml:space="preserve">Zitiervorschlag: § 4 NSGSylV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https://recht.nulegal.eu/gesetze/NSGSylV/4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