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NSGSylV — Schutzzweck</w:t>
      </w:r>
    </w:p>
    <w:p>
      <w:r>
        <w:rPr>
          <w:color w:val="555555"/>
          <w:sz w:val="18"/>
        </w:rPr>
        <w:t xml:space="preserve">Verordnung über die Festsetzung des Naturschutzgebietes „Sylter Außenriff – Östliche Deutsche Bucht“</w:t>
      </w:r>
    </w:p>
    <w:p>
      <w:r>
        <w:rPr>
          <w:color w:val="555555"/>
          <w:sz w:val="18"/>
        </w:rPr>
        <w:t xml:space="preserve">Stand: 10.06.2019 (konsolidierte Textfassung, kein amtliches Inkrafttretensdatum)</w:t>
      </w:r>
    </w:p>
    <w:p>
      <w:r>
        <w:t xml:space="preserve">(1) Die Unterschutzstellung des Meeresgebietes als Naturschutzgebiet dient der Verwirklichung der Erhaltungsziele der Natura 2000-Gebiete durch dauerhafte Bewahrung des Meeresgebietes, der Vielfalt seiner für diese Gebiete maßgeblichen Lebensräume, Lebensgemeinschaften und Arten sowie der besonderen Eigenart der den nordfriesischen Inseln vorgelagerten Flachwasserbereiche der südlichen Nordsee und der Hangbereiche des sich westlich anschließenden Elbe-Urstromtals.</w:t>
      </w:r>
    </w:p>
    <w:p>
      <w:r>
        <w:t xml:space="preserve">(2) Der Schutz nach Absatz 1 umfasst die Erhaltung oder, soweit erforderlich, die Wiederherstellung der spezifischen ökologischen Werte und Funktionen des Gebietes, insbesondere</w:t>
      </w:r>
    </w:p>
    <w:p>
      <w:pPr>
        <w:ind w:left="420"/>
      </w:pPr>
      <w:r>
        <w:t xml:space="preserve">1. seiner charakteristischen Morphodynamik sowie der durch den Tidestrom und den Einstrom von Elbewasser geprägten Hydrodynamik,</w:t>
      </w:r>
    </w:p>
    <w:p>
      <w:pPr>
        <w:ind w:left="420"/>
      </w:pPr>
      <w:r>
        <w:t xml:space="preserve">2. einer natürlichen oder naturnahen Ausprägung artenreicher Kies-, Grobsand- und Schillgründe sowie die Entwicklung von Schlickgründen mit bohrender Bodenmegafauna,</w:t>
      </w:r>
    </w:p>
    <w:p>
      <w:pPr>
        <w:ind w:left="420"/>
      </w:pPr>
      <w:r>
        <w:t xml:space="preserve">3. der Bestände der Schweinswale, Kegelrobben, Seehunde und Seevogelarten sowie ihrer Lebensräume und der natürlichen Populationsdynamik,</w:t>
      </w:r>
    </w:p>
    <w:p>
      <w:pPr>
        <w:ind w:left="420"/>
      </w:pPr>
      <w:r>
        <w:t xml:space="preserve">4. der vielfältigen, artenreichen und eng miteinander vernetzten Benthoslebensgemeinschaften im zentral-westlichen Bereich des Schutzgebietes (Unterbereich Ia), der durch eine besondere ökologische Verzahnung von Riffen, Grob- und Mittelsanden gekennzeichnet ist, und nicht oder sehr wenig durch menschliche Nutzungen beeinflusster Benthoslebensgemeinschaften im Bereich der Amrumbank (Unterbereich Ib) sowie</w:t>
      </w:r>
    </w:p>
    <w:p>
      <w:pPr>
        <w:ind w:left="420"/>
      </w:pPr>
      <w:r>
        <w:t xml:space="preserve">5. der Funktion für die Vernetzung der benthischen Lebensgemeinschaften in der Deutschen Bucht.</w:t>
      </w:r>
    </w:p>
    <w:p>
      <w:r>
        <w:rPr>
          <w:color w:val="555555"/>
          <w:sz w:val="17"/>
        </w:rPr>
        <w:t xml:space="preserve">Zitiervorschlag: § 3 NSGSylV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https://recht.nulegal.eu/gesetze/NSGSylV/3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