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NSGPBRV</w:t>
      </w:r>
    </w:p>
    <w:p>
      <w:r>
        <w:rPr>
          <w:color w:val="555555"/>
          <w:sz w:val="18"/>
        </w:rPr>
        <w:t xml:space="preserve">Verordnung über die Festsetzung des Naturschutzgebietes „Pommersche Bucht – Rönnebank“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Absatz 2 in Verbindung mit Absatz 1 und 3, § 56 Absatz 1, § 32 Absatz 2 und 3, § 20 Absatz 2, § 22 Absatz 1 sowie § 23 Absatz 1 und Absatz 2 Satz 1 des Bundesnaturschutzgesetzes vom 29. Juli 2009 (BGBl. I S. 2542), von denen § 57 Absatz 2 durch Artikel 421 Nummer 7 der Verordnung vom 31. August 2015 (BGBl. I S. 1474) geändert worden ist, verordnet das Bundesministerium für Umwelt, Naturschutz, Bau und Reaktorsicherheit:</w:t>
      </w:r>
    </w:p>
    <w:p>
      <w:r>
        <w:rPr>
          <w:color w:val="555555"/>
          <w:sz w:val="17"/>
        </w:rPr>
        <w:t xml:space="preserve">Zitiervorschlag: Eingangsformel NSGPBRV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https://recht.nulegal.eu/gesetze/NSGPBRV/eingangsformel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