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NSGPBRV — Schutzzweck des Bereiches IV</w:t>
      </w:r>
    </w:p>
    <w:p>
      <w:r>
        <w:rPr>
          <w:color w:val="555555"/>
          <w:sz w:val="18"/>
        </w:rPr>
        <w:t xml:space="preserve">Verordnung über die Festsetzung des Naturschutzgebietes „Pommersche Bucht – Rönnebank“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 den im Bereich IV des Naturschutzgebietes verfolgten Schutzzwecken gehören die Erhaltung oder, soweit erforderlich, die Wiederherstellung eines günstigen Erhaltungszustands</w:t>
      </w:r>
    </w:p>
    <w:p>
      <w:pPr>
        <w:ind w:left="420"/>
      </w:pPr>
      <w:r>
        <w:t xml:space="preserve">1. der im Bereich vorkommenden Arten nach Anhang I der Richtlinie 2009/147/EG, insbesondere</w:t>
      </w:r>
    </w:p>
    <w:p>
      <w:pPr>
        <w:ind w:left="780"/>
      </w:pPr>
      <w:r>
        <w:t xml:space="preserve">a) Sterntaucher (Gavia stellata, EU-Code A001),</w:t>
      </w:r>
    </w:p>
    <w:p>
      <w:pPr>
        <w:ind w:left="780"/>
      </w:pPr>
      <w:r>
        <w:t xml:space="preserve">b) Prachttaucher (Gavia arctica, EU-Code A002) und</w:t>
      </w:r>
    </w:p>
    <w:p>
      <w:pPr>
        <w:ind w:left="780"/>
      </w:pPr>
      <w:r>
        <w:t xml:space="preserve">c) Ohrentaucher (Podiceps auritus, EU-Code A007),</w:t>
      </w:r>
    </w:p>
    <w:p>
      <w:pPr>
        <w:ind w:left="420"/>
      </w:pPr>
      <w:r>
        <w:t xml:space="preserve">2. der regelmäßig auftretenden Zugvogelarten, insbesondere</w:t>
      </w:r>
    </w:p>
    <w:p>
      <w:pPr>
        <w:ind w:left="780"/>
      </w:pPr>
      <w:r>
        <w:t xml:space="preserve">a) Rothalstaucher (Podiceps grisegena, EU-Code A006),</w:t>
      </w:r>
    </w:p>
    <w:p>
      <w:pPr>
        <w:ind w:left="780"/>
      </w:pPr>
      <w:r>
        <w:t xml:space="preserve">b) Gelbschnabeltaucher (Gavia adamsii, EU-Code A010),</w:t>
      </w:r>
    </w:p>
    <w:p>
      <w:pPr>
        <w:ind w:left="780"/>
      </w:pPr>
      <w:r>
        <w:t xml:space="preserve">c) Eisente (Clangula hyemalis, EU-Code A064),</w:t>
      </w:r>
    </w:p>
    <w:p>
      <w:pPr>
        <w:ind w:left="780"/>
      </w:pPr>
      <w:r>
        <w:t xml:space="preserve">d) Trauerente (Melanitta nigra, EU-Code A065),</w:t>
      </w:r>
    </w:p>
    <w:p>
      <w:pPr>
        <w:ind w:left="780"/>
      </w:pPr>
      <w:r>
        <w:t xml:space="preserve">e) Samtente (Melanitta fusca, EU-Code A066),</w:t>
      </w:r>
    </w:p>
    <w:p>
      <w:pPr>
        <w:ind w:left="780"/>
      </w:pPr>
      <w:r>
        <w:t xml:space="preserve">f) Sturmmöwe (Larus canus, EU-Code A182),</w:t>
      </w:r>
    </w:p>
    <w:p>
      <w:pPr>
        <w:ind w:left="780"/>
      </w:pPr>
      <w:r>
        <w:t xml:space="preserve">g) Trottellumme (Uria aalge, EU-Code A199),</w:t>
      </w:r>
    </w:p>
    <w:p>
      <w:pPr>
        <w:ind w:left="780"/>
      </w:pPr>
      <w:r>
        <w:t xml:space="preserve">h) Tordalk (Alca torda, EU-Code A200) und</w:t>
      </w:r>
    </w:p>
    <w:p>
      <w:pPr>
        <w:ind w:left="780"/>
      </w:pPr>
      <w:r>
        <w:t xml:space="preserve">i) Gryllteiste (Cepphus grylle, EU-Code A202), sowie</w:t>
      </w:r>
    </w:p>
    <w:p>
      <w:pPr>
        <w:ind w:left="420"/>
      </w:pPr>
      <w:r>
        <w:t xml:space="preserve">3. des Bereiches in seiner Funktion als Nahrungs-, Überwinterungs-, Mauser-, Durchzugs- und Rastgebiet für die genannten Arten.</w:t>
      </w:r>
    </w:p>
    <w:p>
      <w:r>
        <w:t xml:space="preserve">(2) Zum Schutz der Lebensräume und zur Sicherung des Überlebens und der Vermehrung der in Absatz 1 aufgeführten Vogelarten und des Bereiches in seinen in Absatz 1 genannten Funktionen ist insbesondere erforderlich die Erhaltung oder, soweit erforderlich, die Wiederherstellung</w:t>
      </w:r>
    </w:p>
    <w:p>
      <w:pPr>
        <w:ind w:left="420"/>
      </w:pPr>
      <w:r>
        <w:t xml:space="preserve">1. der qualitativen und quantitativen Bestände der Vogelarten mit dem Ziel der Erreichung eines günstigen Erhaltungszustands unter Berücksichtigung der natürlichen Populationsdynamik und Bestandsentwicklung; Vogelarten mit einer negativen Bestandsentwicklung ihrer biogeographischen Population sind besonders zu berücksichtigen,</w:t>
      </w:r>
    </w:p>
    <w:p>
      <w:pPr>
        <w:ind w:left="420"/>
      </w:pPr>
      <w:r>
        <w:t xml:space="preserve">2. der wesentlichen Nahrungsgrundlagen der Vogelarten, insbesondere der natürlichen Bestandsdichten, Altersklassenverteilungen und Verbreitungsmuster der den Vogelarten als Nahrungsgrundlage dienenden Organismen,</w:t>
      </w:r>
    </w:p>
    <w:p>
      <w:pPr>
        <w:ind w:left="420"/>
      </w:pPr>
      <w:r>
        <w:t xml:space="preserve">3. der für das Gebiet charakteristischen Merkmale, insbesondere im Hinblick auf den Salzgehalt, die Eisfreiheit auch in strengen Wintern sowie die geo- und hydromorphologische Beschaffenheit mit ihren artspezifischen ökologischen Funktionen und Wirkungen sowie</w:t>
      </w:r>
    </w:p>
    <w:p>
      <w:pPr>
        <w:ind w:left="420"/>
      </w:pPr>
      <w:r>
        <w:t xml:space="preserve">4. der natürlichen Qualität der Lebensräume mit ihren jeweiligen artspezifischen ökologischen Funktionen, ihrer Unzerschnittenheit und räumlichen Wechselbeziehungen sowie des ungehinderten Zugangs zu angrenzenden und benachbarten Meeresbereichen.</w:t>
      </w:r>
    </w:p>
    <w:p>
      <w:r>
        <w:rPr>
          <w:color w:val="555555"/>
          <w:sz w:val="17"/>
        </w:rPr>
        <w:t xml:space="preserve">Zitiervorschlag: § 7 NSGPBRV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https://recht.nulegal.eu/gesetze/NSGPBRV/7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