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NSGPBRV — Schutzzweck des Bereiches I</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Zu den im Bereich I des Naturschutzgebietes verfolgten Schutzzwecken gehören die Erhaltung oder, soweit erforderlich, die Wiederherstellung eines günstigen Erhaltungszustands</w:t>
      </w:r>
    </w:p>
    <w:p>
      <w:pPr>
        <w:ind w:left="420"/>
      </w:pPr>
      <w:r>
        <w:t xml:space="preserve">1. des den Bereich prägenden Lebensraumtyps nach Anhang I der Richtlinie 92/43/EWG Riffe (EU-Code 1170),</w:t>
      </w:r>
    </w:p>
    <w:p>
      <w:pPr>
        <w:ind w:left="420"/>
      </w:pPr>
      <w:r>
        <w:t xml:space="preserve">2. der Art nach Anhang II der Richtlinie 92/43/EWG Schweinswal (Phocoena phocoena, EU-Code 1351).</w:t>
      </w:r>
    </w:p>
    <w:p>
      <w:r>
        <w:t xml:space="preserve">(2) Zum Schutz des in Absatz 1 Nummer 1 genannten Lebensraumtyps einschließlich seiner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der Lebensräume mit einer dementsprechenden Verbreitung, Bestandsdichte und Dynamik der Populationen der charakteristischen Arten und der natürlichen Ausprägung ihrer Lebensgemeinschaften,</w:t>
      </w:r>
    </w:p>
    <w:p>
      <w:pPr>
        <w:ind w:left="420"/>
      </w:pPr>
      <w:r>
        <w:t xml:space="preserve">3. der Unzerschnittenheit der Lebensräume und ihrer Funktion als Regenerationsraum insbesondere für die benthische Fauna sowie</w:t>
      </w:r>
    </w:p>
    <w:p>
      <w:pPr>
        <w:ind w:left="420"/>
      </w:pPr>
      <w:r>
        <w:t xml:space="preserve">4. der Funktion als Startpunkt und Ausbreitungskorridor für die Wiederbesiedlung umliegender Gebiete durch benthische Arten.</w:t>
      </w:r>
    </w:p>
    <w:p>
      <w:r>
        <w:t xml:space="preserve">(3) Zum Schutz der in Absatz 1 Nummer 2 genannten Art ist insbesondere erforderlich die Erhaltung oder, soweit erforderlich, die Wiederherstellung</w:t>
      </w:r>
    </w:p>
    <w:p>
      <w:pPr>
        <w:ind w:left="420"/>
      </w:pPr>
      <w:r>
        <w:t xml:space="preserve">1. der natürlichen Bestandsdichten dieser Art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im Bereich sowie der genetischen Austauschmöglichkeiten mit Beständen außerhalb des Gebietes,</w:t>
      </w:r>
    </w:p>
    <w:p>
      <w:pPr>
        <w:ind w:left="420"/>
      </w:pPr>
      <w:r>
        <w:t xml:space="preserve">2. des Bereiches als weitgehend störungsfreies und von lokalen Verschmutzungen unbeeinträchtigtes Habitat des Schweinswals,</w:t>
      </w:r>
    </w:p>
    <w:p>
      <w:pPr>
        <w:ind w:left="420"/>
      </w:pPr>
      <w:r>
        <w:t xml:space="preserve">3. unzerschnittener Habitate und der Möglichkeit der Migration des Schweinswals innerhalb der zentralen Ostsee und in die westliche Ostsee und Beltsee sowie</w:t>
      </w:r>
    </w:p>
    <w:p>
      <w:pPr>
        <w:ind w:left="420"/>
      </w:pPr>
      <w:r>
        <w:t xml:space="preserve">4. der wesentlichen Nahrungsgrundlagen der Schweinswale, insbesondere der natürlichen Bestandsdichten, Altersklassenverteilungen und Verbreitungsmuster der den Schweinswalen als Nahrungsgrundlage dienenden Organismen.</w:t>
      </w:r>
    </w:p>
    <w:p>
      <w:r>
        <w:rPr>
          <w:color w:val="555555"/>
          <w:sz w:val="17"/>
        </w:rPr>
        <w:t xml:space="preserve">Zitiervorschlag: § 4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