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NSGKdrV</w:t>
      </w:r>
    </w:p>
    <w:p>
      <w:r>
        <w:rPr>
          <w:color w:val="555555"/>
          <w:sz w:val="18"/>
        </w:rPr>
        <w:t xml:space="preserve">Verordnung über die Festsetzung des Naturschutzgebietes „Kadetrinne“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57 Absatz 2 in Verbindung mit Absatz 1 und 3, § 56 Absatz 1, § 32 Absatz 2 und 3, § 20 Absatz 2, § 22 Absatz 1 sowie § 23 Absatz 1 und Absatz 2 Satz 1 des Bundesnaturschutzgesetzes vom 29. Juli 2009 (BGBl. I S. 2542), von denen § 57 Absatz 2 durch Artikel 421 Nummer 7 der Verordnung vom 31. August 2015 (BGBl. I S. 1474) geändert worden ist, verordnet das Bundesministerium für Umwelt, Naturschutz, Bau und Reaktorsicherheit:</w:t>
      </w:r>
    </w:p>
    <w:p>
      <w:r>
        <w:rPr>
          <w:color w:val="555555"/>
          <w:sz w:val="17"/>
        </w:rPr>
        <w:t xml:space="preserve">Zitiervorschlag: Eingangsformel NSGKdrV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https://recht.nulegal.eu/gesetze/NSGKdrV/eingangsformel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