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NSGKdrV — Weitergehende Vorschriften</w:t>
      </w:r>
    </w:p>
    <w:p>
      <w:r>
        <w:rPr>
          <w:color w:val="555555"/>
          <w:sz w:val="18"/>
        </w:rPr>
        <w:t xml:space="preserve">Verordnung über die Festsetzung des Naturschutzgebietes „Kadetrinne“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Weitergehende Vorschriften bleiben von dieser Verordnung unberührt. Hierzu zählen insbesondere</w:t>
      </w:r>
    </w:p>
    <w:p>
      <w:pPr>
        <w:ind w:left="420"/>
      </w:pPr>
      <w:r>
        <w:t xml:space="preserve">1. die Vorschriften des § 30 sowie der Kapitel 3 und 5 des Bundesnaturschutzgesetzes einschließlich der Bestimmungen über Ausnahmen und Befreiungen,</w:t>
      </w:r>
    </w:p>
    <w:p>
      <w:pPr>
        <w:ind w:left="420"/>
      </w:pPr>
      <w:r>
        <w:t xml:space="preserve">2. Regelungen der Internationalen Seeschifffahrtsorganisation zur Schiffswegeführung, insbesondere in Bezug auf zu meidende Gebiete,</w:t>
      </w:r>
    </w:p>
    <w:p>
      <w:pPr>
        <w:ind w:left="420"/>
      </w:pPr>
      <w:r>
        <w:t xml:space="preserve">3. Rechtsakte der Europäischen Union auf dem Gebiet der Gemeinsamen Fischereipolitik, insbesondere zur Festlegung von Maßnahmen nach Artikel 11 der Verordnung (EU) Nr. 1380/2013 des Europäischen Parlaments und des Rates vom 11. Dezember 2013 über die Gemeinsame Fischereipolitik und zur Änderung der Verordnungen (EG) Nr. 1954/2003 und (EG) Nr. 1224/2009 des Rates sowie zur Aufhebung der Verordnungen (EG) Nr. 2371/2002 und (EG) Nr. 639/2004 des Rates und des Beschlusses 2004/585/EG des Rates (ABl. L 354 vom 28.12.2013, S. 22), wie Beschränkungen oder Verbote des Einsatzes bestimmter Fanggeräte und von Fangtätigkeiten, sowie</w:t>
      </w:r>
    </w:p>
    <w:p>
      <w:pPr>
        <w:ind w:left="420"/>
      </w:pPr>
      <w:r>
        <w:t xml:space="preserve">4. die Vorschrift des § 329 Absatz 4 des Strafgesetzbuches.</w:t>
      </w:r>
    </w:p>
    <w:p>
      <w:r>
        <w:rPr>
          <w:color w:val="555555"/>
          <w:sz w:val="17"/>
        </w:rPr>
        <w:t xml:space="preserve">Zitiervorschlag: § 8 NSGKdrV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https://recht.nulegal.eu/gesetze/NSGKdrV/8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